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before="240" w:after="0"/>
        <w:rPr/>
      </w:pPr>
      <w:r>
        <w:rPr/>
      </w:r>
    </w:p>
    <w:p>
      <w:pPr>
        <w:pStyle w:val="Titolo1"/>
        <w:rPr/>
      </w:pPr>
      <w:r>
        <w:rPr/>
      </w:r>
    </w:p>
    <w:tbl>
      <w:tblPr>
        <w:tblW w:w="9248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849"/>
        <w:gridCol w:w="1850"/>
        <w:gridCol w:w="1849"/>
        <w:gridCol w:w="1847"/>
        <w:gridCol w:w="1853"/>
      </w:tblGrid>
      <w:tr>
        <w:trPr>
          <w:trHeight w:val="552" w:hRule="atLeast"/>
        </w:trPr>
        <w:tc>
          <w:tcPr>
            <w:tcW w:w="9248" w:type="dxa"/>
            <w:gridSpan w:val="5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 w:eastAsia="Times New Roman" w:cs="Calibri"/>
                <w:b/>
                <w:b/>
                <w:bCs/>
                <w:i/>
                <w:i/>
                <w:iCs/>
                <w:sz w:val="44"/>
                <w:szCs w:val="44"/>
                <w:lang w:eastAsia="it-IT"/>
              </w:rPr>
            </w:pPr>
            <w:r>
              <w:rPr>
                <w:rFonts w:eastAsia="Times New Roman" w:cs="Calibri" w:ascii="Verdana" w:hAnsi="Verdana"/>
                <w:b/>
                <w:bCs/>
                <w:i/>
                <w:iCs/>
                <w:sz w:val="44"/>
                <w:szCs w:val="44"/>
                <w:lang w:eastAsia="it-IT"/>
              </w:rPr>
              <w:t>COMUNE DI MISANO ADRIATICO</w:t>
            </w:r>
          </w:p>
        </w:tc>
      </w:tr>
      <w:tr>
        <w:trPr>
          <w:trHeight w:val="184" w:hRule="exact"/>
        </w:trPr>
        <w:tc>
          <w:tcPr>
            <w:tcW w:w="184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 w:eastAsia="Times New Roman" w:cs="Calibri"/>
                <w:b/>
                <w:b/>
                <w:bCs/>
                <w:i/>
                <w:i/>
                <w:iCs/>
                <w:sz w:val="44"/>
                <w:szCs w:val="44"/>
                <w:lang w:eastAsia="it-IT"/>
              </w:rPr>
            </w:pPr>
            <w:r>
              <w:rPr>
                <w:rFonts w:eastAsia="Times New Roman" w:cs="Calibri" w:ascii="Verdana" w:hAnsi="Verdana"/>
                <w:b/>
                <w:bCs/>
                <w:i/>
                <w:iCs/>
                <w:sz w:val="44"/>
                <w:szCs w:val="44"/>
                <w:lang w:eastAsia="it-IT"/>
              </w:rPr>
            </w:r>
          </w:p>
        </w:tc>
        <w:tc>
          <w:tcPr>
            <w:tcW w:w="185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</w:r>
          </w:p>
        </w:tc>
        <w:tc>
          <w:tcPr>
            <w:tcW w:w="1849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</w:r>
          </w:p>
        </w:tc>
        <w:tc>
          <w:tcPr>
            <w:tcW w:w="184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</w:r>
          </w:p>
        </w:tc>
        <w:tc>
          <w:tcPr>
            <w:tcW w:w="1853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it-IT"/>
              </w:rPr>
            </w:r>
          </w:p>
        </w:tc>
      </w:tr>
      <w:tr>
        <w:trPr>
          <w:trHeight w:val="368" w:hRule="atLeast"/>
        </w:trPr>
        <w:tc>
          <w:tcPr>
            <w:tcW w:w="9248" w:type="dxa"/>
            <w:gridSpan w:val="5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Verdana" w:hAnsi="Verdana" w:eastAsia="Times New Roman" w:cs="Calibri"/>
                <w:b/>
                <w:b/>
                <w:bCs/>
                <w:i/>
                <w:i/>
                <w:iCs/>
                <w:sz w:val="28"/>
                <w:szCs w:val="28"/>
                <w:u w:val="single"/>
                <w:lang w:eastAsia="it-IT"/>
              </w:rPr>
            </w:pPr>
            <w:r>
              <w:rPr>
                <w:rFonts w:eastAsia="Times New Roman" w:cs="Calibri" w:ascii="Verdana" w:hAnsi="Verdana"/>
                <w:b/>
                <w:bCs/>
                <w:i/>
                <w:iCs/>
                <w:sz w:val="28"/>
                <w:szCs w:val="28"/>
                <w:u w:val="single"/>
                <w:lang w:eastAsia="it-IT"/>
              </w:rPr>
              <w:t>Provincia di Rimini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/>
          <w:bCs/>
          <w:i/>
          <w:i/>
          <w:iCs/>
          <w:color w:val="1F497D"/>
          <w:sz w:val="56"/>
          <w:szCs w:val="56"/>
        </w:rPr>
      </w:pPr>
      <w:r>
        <w:rPr>
          <w:rFonts w:cs="Calibri"/>
          <w:b/>
          <w:bCs/>
          <w:i/>
          <w:iCs/>
          <w:color w:val="1F497D"/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/>
          <w:bCs/>
          <w:i/>
          <w:i/>
          <w:iCs/>
          <w:color w:val="1F497D"/>
          <w:sz w:val="56"/>
          <w:szCs w:val="56"/>
        </w:rPr>
      </w:pPr>
      <w:r>
        <w:rPr>
          <w:rFonts w:cs="Calibri"/>
          <w:b/>
          <w:bCs/>
          <w:i/>
          <w:iCs/>
          <w:color w:val="1F497D"/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/>
          <w:b/>
          <w:b/>
          <w:bCs/>
          <w:i/>
          <w:i/>
          <w:iCs/>
          <w:color w:val="1F497D"/>
          <w:sz w:val="56"/>
          <w:szCs w:val="56"/>
        </w:rPr>
      </w:pPr>
      <w:r>
        <w:rPr>
          <w:rFonts w:cs="Calibri"/>
          <w:b/>
          <w:bCs/>
          <w:i/>
          <w:iCs/>
          <w:color w:val="1F497D"/>
          <w:sz w:val="56"/>
          <w:szCs w:val="56"/>
        </w:rPr>
      </w:r>
    </w:p>
    <w:p>
      <w:pPr>
        <w:pStyle w:val="Normal"/>
        <w:tabs>
          <w:tab w:val="clear" w:pos="708"/>
          <w:tab w:val="left" w:pos="792" w:leader="none"/>
        </w:tabs>
        <w:spacing w:before="120" w:after="120"/>
        <w:ind w:right="-82" w:hanging="0"/>
        <w:rPr>
          <w:rFonts w:ascii="Calibri" w:hAnsi="Calibri"/>
          <w:b/>
          <w:b/>
          <w:iCs/>
          <w:color w:val="1F497D"/>
          <w:sz w:val="50"/>
          <w:szCs w:val="50"/>
        </w:rPr>
      </w:pPr>
      <w:r>
        <w:rPr>
          <w:b/>
          <w:iCs/>
          <w:color w:val="1F497D"/>
          <w:sz w:val="50"/>
          <w:szCs w:val="50"/>
        </w:rPr>
        <w:tab/>
      </w:r>
    </w:p>
    <w:p>
      <w:pPr>
        <w:pStyle w:val="Normal"/>
        <w:spacing w:before="120" w:after="120"/>
        <w:ind w:right="-82" w:hanging="0"/>
        <w:jc w:val="center"/>
        <w:rPr>
          <w:rFonts w:ascii="Calibri" w:hAnsi="Calibri"/>
          <w:b/>
          <w:b/>
          <w:iCs/>
          <w:sz w:val="50"/>
          <w:szCs w:val="50"/>
        </w:rPr>
      </w:pPr>
      <w:r>
        <w:rPr>
          <w:b/>
          <w:iCs/>
          <w:sz w:val="50"/>
          <w:szCs w:val="50"/>
        </w:rPr>
        <w:t>RELAZIONE SULL’ATTUAZIONE DEL PIANO DI REVISIONE PERIODICA DELLE PARTECIPAZIONI</w:t>
      </w:r>
    </w:p>
    <w:p>
      <w:pPr>
        <w:pStyle w:val="Normal"/>
        <w:spacing w:before="120" w:after="120"/>
        <w:ind w:right="-82" w:hanging="0"/>
        <w:jc w:val="center"/>
        <w:rPr>
          <w:rFonts w:ascii="Calibri" w:hAnsi="Calibri"/>
          <w:b/>
          <w:b/>
          <w:iCs/>
          <w:sz w:val="50"/>
          <w:szCs w:val="50"/>
        </w:rPr>
      </w:pPr>
      <w:r>
        <w:rPr>
          <w:b/>
          <w:iCs/>
          <w:sz w:val="50"/>
          <w:szCs w:val="50"/>
        </w:rPr>
        <w:t>POSSEDUTE AL 31/12/</w:t>
      </w:r>
      <w:r>
        <w:rPr>
          <w:rFonts w:eastAsia="Calibri" w:cs="" w:cstheme="minorBidi" w:eastAsiaTheme="minorHAnsi"/>
          <w:b/>
          <w:iCs/>
          <w:color w:val="auto"/>
          <w:kern w:val="0"/>
          <w:sz w:val="50"/>
          <w:szCs w:val="50"/>
          <w:lang w:val="it-IT" w:eastAsia="en-US" w:bidi="ar-SA"/>
        </w:rPr>
        <w:t>2020</w:t>
      </w:r>
    </w:p>
    <w:p>
      <w:pPr>
        <w:pStyle w:val="Normal"/>
        <w:spacing w:before="120" w:after="120"/>
        <w:ind w:right="-82" w:hanging="0"/>
        <w:jc w:val="center"/>
        <w:rPr>
          <w:rFonts w:ascii="Calibri" w:hAnsi="Calibri"/>
          <w:b/>
          <w:b/>
          <w:i/>
          <w:i/>
          <w:iCs/>
          <w:sz w:val="50"/>
          <w:szCs w:val="50"/>
        </w:rPr>
      </w:pPr>
      <w:r>
        <w:rPr>
          <w:b/>
          <w:i/>
          <w:iCs/>
          <w:sz w:val="50"/>
          <w:szCs w:val="50"/>
        </w:rPr>
        <w:t>(Art. 20, c. 4, TUSP)</w:t>
      </w:r>
    </w:p>
    <w:p>
      <w:pPr>
        <w:pStyle w:val="Normal"/>
        <w:spacing w:before="120" w:after="120"/>
        <w:ind w:right="-82" w:hanging="0"/>
        <w:jc w:val="center"/>
        <w:rPr>
          <w:rFonts w:ascii="Calibri" w:hAnsi="Calibri"/>
          <w:b/>
          <w:b/>
          <w:i/>
          <w:i/>
          <w:iCs/>
          <w:sz w:val="50"/>
          <w:szCs w:val="50"/>
        </w:rPr>
      </w:pPr>
      <w:r>
        <w:rPr>
          <w:b/>
          <w:i/>
          <w:iCs/>
          <w:sz w:val="50"/>
          <w:szCs w:val="50"/>
        </w:rPr>
      </w:r>
    </w:p>
    <w:p>
      <w:pPr>
        <w:pStyle w:val="Normal"/>
        <w:spacing w:before="120" w:after="120"/>
        <w:ind w:right="-82" w:hanging="0"/>
        <w:jc w:val="center"/>
        <w:rPr>
          <w:rFonts w:ascii="Calibri" w:hAnsi="Calibri"/>
          <w:b/>
          <w:b/>
          <w:i/>
          <w:i/>
          <w:iCs/>
          <w:sz w:val="50"/>
          <w:szCs w:val="50"/>
        </w:rPr>
      </w:pPr>
      <w:r>
        <w:rPr>
          <w:b/>
          <w:i/>
          <w:iCs/>
          <w:sz w:val="50"/>
          <w:szCs w:val="50"/>
        </w:rPr>
      </w:r>
    </w:p>
    <w:p>
      <w:pPr>
        <w:pStyle w:val="Normal"/>
        <w:spacing w:before="120" w:after="120"/>
        <w:ind w:right="-82" w:hanging="0"/>
        <w:jc w:val="center"/>
        <w:rPr>
          <w:rFonts w:ascii="Calibri" w:hAnsi="Calibri"/>
          <w:b/>
          <w:b/>
          <w:i/>
          <w:i/>
          <w:iCs/>
          <w:sz w:val="50"/>
          <w:szCs w:val="50"/>
        </w:rPr>
      </w:pPr>
      <w:r>
        <w:rPr>
          <w:b/>
          <w:i/>
          <w:iCs/>
          <w:sz w:val="50"/>
          <w:szCs w:val="50"/>
        </w:rPr>
      </w:r>
    </w:p>
    <w:p>
      <w:pPr>
        <w:pStyle w:val="Normal"/>
        <w:spacing w:before="120" w:after="120"/>
        <w:ind w:right="-82" w:hanging="0"/>
        <w:jc w:val="center"/>
        <w:rPr>
          <w:rFonts w:ascii="Calibri" w:hAnsi="Calibri"/>
          <w:b/>
          <w:b/>
          <w:iCs/>
          <w:sz w:val="50"/>
          <w:szCs w:val="50"/>
        </w:rPr>
      </w:pPr>
      <w:r>
        <w:rPr>
          <w:b/>
          <w:i/>
          <w:iCs/>
          <w:sz w:val="50"/>
          <w:szCs w:val="50"/>
        </w:rPr>
        <w:t xml:space="preserve">SCHEDE DI RILEVAZIONE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lineRule="auto" w:line="36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360"/>
        <w:jc w:val="both"/>
        <w:rPr>
          <w:rFonts w:cs="Calibri" w:cstheme="minorHAnsi"/>
          <w:color w:val="244062"/>
          <w:sz w:val="24"/>
          <w:szCs w:val="24"/>
        </w:rPr>
      </w:pPr>
      <w:r>
        <w:rPr>
          <w:rFonts w:cs="Calibri" w:cstheme="minorHAnsi"/>
          <w:color w:val="244062"/>
          <w:sz w:val="24"/>
          <w:szCs w:val="24"/>
        </w:rPr>
        <w:t>Il documento riporta le schede di rilevazione delle informazioni contenute nella relazione, da approvarsi entro il 31/12/</w:t>
      </w:r>
      <w:r>
        <w:rPr>
          <w:rFonts w:eastAsia="Calibri" w:cs="Calibri" w:cstheme="minorHAnsi"/>
          <w:color w:val="244062"/>
          <w:kern w:val="0"/>
          <w:sz w:val="24"/>
          <w:szCs w:val="24"/>
          <w:lang w:val="it-IT" w:eastAsia="en-US" w:bidi="ar-SA"/>
        </w:rPr>
        <w:t>2022</w:t>
      </w:r>
      <w:r>
        <w:rPr>
          <w:rFonts w:cs="Calibri" w:cstheme="minorHAnsi"/>
          <w:color w:val="244062"/>
          <w:sz w:val="24"/>
          <w:szCs w:val="24"/>
        </w:rPr>
        <w:t>, sullo stato di attuazione del piano di razionalizzazione adottato dall’Ente con riferimento alle partecipazioni detenute al 31/12/</w:t>
      </w:r>
      <w:r>
        <w:rPr>
          <w:rFonts w:eastAsia="Calibri" w:cs="Calibri" w:cstheme="minorHAnsi"/>
          <w:color w:val="244062"/>
          <w:kern w:val="0"/>
          <w:sz w:val="24"/>
          <w:szCs w:val="24"/>
          <w:lang w:val="it-IT" w:eastAsia="en-US" w:bidi="ar-SA"/>
        </w:rPr>
        <w:t>2020</w:t>
      </w:r>
      <w:r>
        <w:rPr>
          <w:rFonts w:cs="Calibri" w:cstheme="minorHAnsi"/>
          <w:color w:val="244062"/>
          <w:sz w:val="24"/>
          <w:szCs w:val="24"/>
        </w:rPr>
        <w:t xml:space="preserve">.  </w:t>
      </w:r>
    </w:p>
    <w:p>
      <w:pPr>
        <w:pStyle w:val="Normal"/>
        <w:spacing w:lineRule="auto" w:line="360"/>
        <w:jc w:val="both"/>
        <w:rPr>
          <w:rFonts w:cs="Calibri" w:cstheme="minorHAnsi"/>
          <w:color w:val="244062"/>
          <w:sz w:val="24"/>
          <w:szCs w:val="24"/>
        </w:rPr>
      </w:pPr>
      <w:r>
        <w:rPr>
          <w:rFonts w:cs="Calibri" w:cstheme="minorHAnsi"/>
          <w:color w:val="244062"/>
          <w:sz w:val="24"/>
          <w:szCs w:val="24"/>
        </w:rPr>
        <w:t>In particolare: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/>
        <w:tc>
          <w:tcPr>
            <w:tcW w:w="9628" w:type="dxa"/>
            <w:tcBorders/>
            <w:shd w:color="auto" w:fill="FFD966" w:themeFill="accent4" w:themeFillTint="99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280" w:before="0" w:after="240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 xml:space="preserve">per le partecipazioni dirette 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  <w:u w:val="single"/>
              </w:rPr>
              <w:t>non più detenute al 31/12/202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  <w:u w:val="single"/>
              </w:rPr>
              <w:t>1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  <w:u w:val="single"/>
              </w:rPr>
              <w:t xml:space="preserve"> o alla data di adozione del provvedimento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 xml:space="preserve">, deve essere compilata una delle schede seguenti, in base alla tipologia di operazione realizzata: 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PARTECIPAZIONE NON PIÙ DETENUTA - Alienazione della partecipazione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PARTECIPAZIONE NON PIÙ DETENUTA - Cessione della partecipazione a titolo gratuito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PARTECIPAZIONE NON PIÙ DETENUTA - Recesso dalla società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PARTECIPAZIONE NON PIÙ DETENUTA - Messa in liquidazione della società - Scioglimento della società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MS Mincho" w:cs="Calibri"/>
                <w:sz w:val="24"/>
                <w:szCs w:val="24"/>
                <w:lang w:eastAsia="ja-JP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PARTECIPAZIONE NON PIÙ DETENUTA - Fusione della società (per unione o per incorporazione)</w:t>
            </w:r>
          </w:p>
        </w:tc>
      </w:tr>
    </w:tbl>
    <w:p>
      <w:pPr>
        <w:pStyle w:val="Normal"/>
        <w:spacing w:lineRule="auto" w:line="360"/>
        <w:jc w:val="both"/>
        <w:rPr>
          <w:rFonts w:cs="Calibri" w:cstheme="minorHAnsi"/>
          <w:color w:val="244062"/>
          <w:sz w:val="24"/>
          <w:szCs w:val="24"/>
        </w:rPr>
      </w:pPr>
      <w:r>
        <w:rPr>
          <w:rFonts w:cs="Calibri" w:cstheme="minorHAnsi"/>
          <w:color w:val="244062"/>
          <w:sz w:val="24"/>
          <w:szCs w:val="24"/>
        </w:rPr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8"/>
      </w:tblGrid>
      <w:tr>
        <w:trPr/>
        <w:tc>
          <w:tcPr>
            <w:tcW w:w="9628" w:type="dxa"/>
            <w:tcBorders/>
            <w:shd w:color="auto" w:fill="C5E0B3" w:themeFill="accent6" w:themeFillTint="66" w:val="clear"/>
          </w:tcPr>
          <w:p>
            <w:pPr>
              <w:pStyle w:val="ListParagraph"/>
              <w:numPr>
                <w:ilvl w:val="0"/>
                <w:numId w:val="1"/>
              </w:numPr>
              <w:spacing w:before="0" w:after="240"/>
              <w:ind w:left="720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 xml:space="preserve">per le partecipazioni dirette 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  <w:u w:val="single"/>
              </w:rPr>
              <w:t>detenute alla data del 31/12/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kern w:val="0"/>
                <w:sz w:val="24"/>
                <w:szCs w:val="24"/>
                <w:u w:val="single"/>
                <w:lang w:val="it-IT" w:eastAsia="en-US" w:bidi="ar-SA"/>
              </w:rPr>
              <w:t>2020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  <w:u w:val="single"/>
              </w:rPr>
              <w:t xml:space="preserve"> e ancora detenute alla data di adozione del provvedimento di razionalizzazione</w:t>
            </w: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 xml:space="preserve">, per le quali nel precedente piano era stata indicata una misura di razionalizzazione, deve essere compilata una delle schede seguenti, in base alla misura di razionalizzazione indicata nell’anno precedente: 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STATO DI ATTUAZIONE - Alienazione della partecipazione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STATO DI ATTUAZIONE - Cessione della partecipazione a titolo gratuito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STATO DI ATTUAZIONE - Recesso dalla società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STATO DI ATTUAZIONE - Messa in liquidazione della società - Scioglimento della società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Calibri" w:cs="Calibri" w:asciiTheme="minorHAnsi" w:cstheme="minorHAnsi" w:eastAsiaTheme="minorHAnsi" w:hAnsiTheme="minorHAnsi"/>
                <w:color w:val="244062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STATO DI ATTUAZIONE - Fusione della società (per unione o per incorporazione)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40"/>
              <w:ind w:left="1162" w:hanging="357"/>
              <w:contextualSpacing/>
              <w:rPr>
                <w:rFonts w:ascii="Calibri" w:hAnsi="Calibri" w:eastAsia="MS Mincho" w:cs="Calibri"/>
                <w:sz w:val="24"/>
                <w:szCs w:val="24"/>
                <w:lang w:eastAsia="ja-JP"/>
              </w:rPr>
            </w:pPr>
            <w:r>
              <w:rPr>
                <w:rFonts w:eastAsia="Calibri" w:cs="Calibri" w:ascii="Calibri" w:hAnsi="Calibri" w:asciiTheme="minorHAnsi" w:cstheme="minorHAnsi" w:eastAsiaTheme="minorHAnsi" w:hAnsiTheme="minorHAnsi"/>
                <w:color w:val="244062"/>
                <w:sz w:val="24"/>
                <w:szCs w:val="24"/>
              </w:rPr>
              <w:t>STATO DI ATTUAZIONE - Mantenimento della partecipazione con azioni di razionalizzazione della società</w:t>
            </w:r>
          </w:p>
        </w:tc>
      </w:tr>
    </w:tbl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eastAsia="MS Mincho" w:cs="Calibri"/>
          <w:sz w:val="24"/>
          <w:szCs w:val="24"/>
          <w:lang w:eastAsia="ja-JP"/>
        </w:rPr>
      </w:r>
    </w:p>
    <w:p>
      <w:pPr>
        <w:pStyle w:val="Normal"/>
        <w:spacing w:lineRule="auto" w:line="240"/>
        <w:jc w:val="both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sz w:val="20"/>
          <w:szCs w:val="20"/>
        </w:rPr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 w:themeFill="accent6" w:themeFillTint="66"/>
        <w:spacing w:before="120" w:after="160"/>
        <w:jc w:val="center"/>
        <w:rPr>
          <w:rFonts w:eastAsia="MS Mincho" w:cs="Calibri" w:cstheme="minorHAnsi"/>
          <w:b/>
          <w:b/>
          <w:bCs/>
          <w:color w:val="002060"/>
          <w:sz w:val="24"/>
          <w:szCs w:val="24"/>
          <w:lang w:eastAsia="ja-JP"/>
        </w:rPr>
      </w:pPr>
      <w:r>
        <w:rPr>
          <w:rFonts w:eastAsia="MS Mincho" w:cs="Calibri" w:cstheme="minorHAnsi"/>
          <w:b/>
          <w:bCs/>
          <w:color w:val="002060"/>
          <w:sz w:val="24"/>
          <w:szCs w:val="24"/>
          <w:lang w:eastAsia="ja-JP"/>
        </w:rPr>
        <w:t>SCHEDA STATO DI ATTUAZIONE</w:t>
      </w:r>
    </w:p>
    <w:p>
      <w:pPr>
        <w:pStyle w:val="Normal"/>
        <w:jc w:val="center"/>
        <w:rPr>
          <w:b/>
          <w:b/>
          <w:sz w:val="2"/>
          <w:szCs w:val="28"/>
        </w:rPr>
      </w:pPr>
      <w:r>
        <w:rPr>
          <w:b/>
          <w:sz w:val="2"/>
          <w:szCs w:val="28"/>
        </w:rPr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 w:themeFill="accent6" w:themeFillTint="66"/>
        <w:spacing w:before="120" w:after="160"/>
        <w:jc w:val="center"/>
        <w:rPr>
          <w:rFonts w:eastAsia="MS Mincho" w:cs="Calibri" w:cstheme="minorHAnsi"/>
          <w:b/>
          <w:b/>
          <w:bCs/>
          <w:color w:val="002060"/>
          <w:sz w:val="24"/>
          <w:szCs w:val="24"/>
          <w:lang w:eastAsia="ja-JP"/>
        </w:rPr>
      </w:pPr>
      <w:r>
        <w:rPr>
          <w:rFonts w:eastAsia="MS Mincho" w:cs="Calibri" w:cstheme="minorHAnsi"/>
          <w:b/>
          <w:bCs/>
          <w:color w:val="002060"/>
          <w:sz w:val="24"/>
          <w:szCs w:val="24"/>
          <w:lang w:eastAsia="ja-JP"/>
        </w:rPr>
        <w:t>Messa in liquidazione della società</w:t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hd w:val="clear" w:color="auto" w:fill="002060"/>
        <w:spacing w:before="120" w:after="160"/>
        <w:jc w:val="center"/>
        <w:rPr>
          <w:rFonts w:eastAsia="MS Mincho" w:cs="Calibri" w:cstheme="minorHAnsi"/>
          <w:b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="Calibri" w:cstheme="minorHAnsi"/>
          <w:b/>
          <w:bCs/>
          <w:color w:val="FFFFFF" w:themeColor="background1"/>
          <w:sz w:val="18"/>
          <w:szCs w:val="24"/>
          <w:lang w:eastAsia="ja-JP"/>
        </w:rPr>
        <w:t>DATI ANAGRAFICI DELLA PARTECIPATA</w:t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8"/>
        <w:gridCol w:w="4819"/>
      </w:tblGrid>
      <w:tr>
        <w:trPr>
          <w:trHeight w:val="249" w:hRule="atLeast"/>
          <w:cantSplit w:val="true"/>
        </w:trPr>
        <w:tc>
          <w:tcPr>
            <w:tcW w:w="4818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18"/>
              </w:rPr>
              <w:t xml:space="preserve">Codice Fiscale </w:t>
            </w:r>
          </w:p>
        </w:tc>
        <w:tc>
          <w:tcPr>
            <w:tcW w:w="4819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00126400407</w:t>
            </w:r>
          </w:p>
        </w:tc>
      </w:tr>
      <w:tr>
        <w:trPr>
          <w:trHeight w:val="249" w:hRule="atLeast"/>
          <w:cantSplit w:val="true"/>
        </w:trPr>
        <w:tc>
          <w:tcPr>
            <w:tcW w:w="4818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18"/>
              </w:rPr>
              <w:t xml:space="preserve">Denominazione </w:t>
            </w:r>
          </w:p>
        </w:tc>
        <w:tc>
          <w:tcPr>
            <w:tcW w:w="4819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AERADRIA S.P.A. in fallimento</w:t>
            </w:r>
          </w:p>
        </w:tc>
      </w:tr>
    </w:tbl>
    <w:p>
      <w:pPr>
        <w:pStyle w:val="Normal"/>
        <w:tabs>
          <w:tab w:val="clear" w:pos="708"/>
          <w:tab w:val="left" w:pos="357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495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70"/>
        <w:gridCol w:w="4770"/>
      </w:tblGrid>
      <w:tr>
        <w:trPr>
          <w:tblHeader w:val="true"/>
          <w:trHeight w:val="249" w:hRule="atLeast"/>
          <w:cantSplit w:val="true"/>
        </w:trPr>
        <w:tc>
          <w:tcPr>
            <w:tcW w:w="4770" w:type="dxa"/>
            <w:tcBorders>
              <w:top w:val="double" w:sz="6" w:space="0" w:color="0F253F"/>
              <w:left w:val="single" w:sz="4" w:space="0" w:color="FFFFFF"/>
              <w:bottom w:val="double" w:sz="4" w:space="0" w:color="000000"/>
            </w:tcBorders>
            <w:shd w:color="auto" w:fill="DEEAF6" w:val="clear"/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rFonts w:cs="Calibri" w:cstheme="minorHAnsi"/>
                <w:b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4770" w:type="dxa"/>
            <w:tcBorders>
              <w:top w:val="double" w:sz="6" w:space="0" w:color="0F253F"/>
              <w:left w:val="single" w:sz="4" w:space="0" w:color="FFFFFF"/>
              <w:bottom w:val="double" w:sz="4" w:space="0" w:color="000000"/>
            </w:tcBorders>
            <w:shd w:color="auto" w:fill="DEEAF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Stato di attuazione della procedura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/>
            </w:r>
            <w:sdt>
              <w:sdtPr>
                <w:dropDownList>
                  <w:listItem w:displayText="Scegliere un elemento." w:value="Scegliere un elemento."/>
                  <w:listItem w:displayText="Procedura di liquidazione non avviata" w:value="Procedura di liquidazione non avviata"/>
                  <w:listItem w:displayText="Procedura di liquidazione in corso" w:value="Procedura di liquidazione in corso"/>
                  <w:listItem w:displayText="Revoca dello stato di liquidazione" w:value="Revoca dello stato di liquidazione"/>
                </w:dropDownList>
              </w:sdtPr>
              <w:sdtContent>
                <w:r>
                  <w:t>Procedura di liquidazione in corso</w:t>
                </w:r>
              </w:sdtContent>
            </w:sdt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Motivazioni della mancato avvio della procedura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Sono in corso procedure concorsuali (fallimento)</w:t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Data di deliberazione della liquidazione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Società dichiarata fallita con sentenza del Tribunale di Rimini in data 26/11/2013.</w:t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Stato di avanzamento della procedura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In corso</w:t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Data di deliberazione della revoca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Motivazioni della conclusione della procedura con esito negativo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Ulteriori informazioni*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La società sarà cancellata dal Registro Imprese a cura del Curatore Fallimentare al termine della procedura concorsuale, senza possibilità da parte dell’Ente di poter porre in essere azioni attive al fine di anticiparne la tempistica.</w:t>
            </w:r>
          </w:p>
        </w:tc>
      </w:tr>
    </w:tbl>
    <w:p>
      <w:pPr>
        <w:pStyle w:val="Normal"/>
        <w:rPr>
          <w:rFonts w:cs="Calibri" w:cstheme="minorHAnsi"/>
          <w:color w:val="244062"/>
          <w:sz w:val="18"/>
          <w:szCs w:val="20"/>
        </w:rPr>
      </w:pPr>
      <w:r>
        <w:rPr>
          <w:rFonts w:cs="Calibri" w:cstheme="minorHAnsi"/>
          <w:color w:val="244062"/>
          <w:sz w:val="18"/>
          <w:szCs w:val="20"/>
        </w:rPr>
        <w:t>*Campo testuale con compilazione facoltativa.</w:t>
      </w:r>
    </w:p>
    <w:p>
      <w:pPr>
        <w:pStyle w:val="Normal"/>
        <w:rPr>
          <w:rFonts w:cs="Calibri" w:cstheme="minorHAnsi"/>
          <w:color w:val="244062"/>
          <w:sz w:val="18"/>
          <w:szCs w:val="20"/>
        </w:rPr>
      </w:pPr>
      <w:r>
        <w:rPr>
          <w:rFonts w:cs="Calibri" w:cstheme="minorHAnsi"/>
          <w:color w:val="244062"/>
          <w:sz w:val="18"/>
          <w:szCs w:val="20"/>
        </w:rPr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 w:themeFill="accent6" w:themeFillTint="66"/>
        <w:spacing w:before="120" w:after="160"/>
        <w:jc w:val="center"/>
        <w:rPr>
          <w:rFonts w:eastAsia="MS Mincho" w:cs="Calibri" w:cstheme="minorHAnsi"/>
          <w:b/>
          <w:b/>
          <w:bCs/>
          <w:color w:val="002060"/>
          <w:sz w:val="24"/>
          <w:szCs w:val="24"/>
          <w:lang w:eastAsia="ja-JP"/>
        </w:rPr>
      </w:pPr>
      <w:r>
        <w:rPr>
          <w:rFonts w:eastAsia="MS Mincho" w:cs="Calibri" w:cstheme="minorHAnsi"/>
          <w:b/>
          <w:bCs/>
          <w:color w:val="002060"/>
          <w:sz w:val="24"/>
          <w:szCs w:val="24"/>
          <w:lang w:eastAsia="ja-JP"/>
        </w:rPr>
        <w:t>SCHEDA STATO DI ATTUAZIONE</w:t>
      </w:r>
    </w:p>
    <w:p>
      <w:pPr>
        <w:pStyle w:val="Normal"/>
        <w:jc w:val="center"/>
        <w:rPr>
          <w:b/>
          <w:b/>
          <w:sz w:val="2"/>
          <w:szCs w:val="28"/>
        </w:rPr>
      </w:pPr>
      <w:r>
        <w:rPr>
          <w:b/>
          <w:sz w:val="2"/>
          <w:szCs w:val="28"/>
        </w:rPr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 w:themeFill="accent6" w:themeFillTint="66"/>
        <w:spacing w:before="120" w:after="160"/>
        <w:jc w:val="center"/>
        <w:rPr>
          <w:rFonts w:eastAsia="MS Mincho" w:cs="Calibri" w:cstheme="minorHAnsi"/>
          <w:b/>
          <w:b/>
          <w:bCs/>
          <w:color w:val="002060"/>
          <w:sz w:val="24"/>
          <w:szCs w:val="24"/>
          <w:lang w:eastAsia="ja-JP"/>
        </w:rPr>
      </w:pPr>
      <w:r>
        <w:rPr>
          <w:rFonts w:eastAsia="MS Mincho" w:cs="Calibri" w:cstheme="minorHAnsi"/>
          <w:b/>
          <w:bCs/>
          <w:color w:val="002060"/>
          <w:sz w:val="24"/>
          <w:szCs w:val="24"/>
          <w:lang w:eastAsia="ja-JP"/>
        </w:rPr>
        <w:t>Fusione e Messa in liquidazione della società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shd w:val="clear" w:color="auto" w:fill="002060"/>
        <w:spacing w:before="120" w:after="160"/>
        <w:jc w:val="center"/>
        <w:rPr>
          <w:rFonts w:eastAsia="MS Mincho" w:cs="Calibri" w:cstheme="minorHAnsi"/>
          <w:b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="Calibri" w:cstheme="minorHAnsi"/>
          <w:b/>
          <w:bCs/>
          <w:color w:val="FFFFFF" w:themeColor="background1"/>
          <w:sz w:val="18"/>
          <w:szCs w:val="24"/>
          <w:lang w:eastAsia="ja-JP"/>
        </w:rPr>
        <w:t>DATI ANAGRAFICI DELLA PARTECIPATA</w:t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8"/>
        <w:gridCol w:w="4819"/>
      </w:tblGrid>
      <w:tr>
        <w:trPr>
          <w:trHeight w:val="249" w:hRule="atLeast"/>
          <w:cantSplit w:val="true"/>
        </w:trPr>
        <w:tc>
          <w:tcPr>
            <w:tcW w:w="4818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18"/>
              </w:rPr>
              <w:t xml:space="preserve">Codice Fiscale </w:t>
            </w:r>
          </w:p>
        </w:tc>
        <w:tc>
          <w:tcPr>
            <w:tcW w:w="4819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02349350401</w:t>
            </w:r>
          </w:p>
        </w:tc>
      </w:tr>
      <w:tr>
        <w:trPr>
          <w:trHeight w:val="249" w:hRule="atLeast"/>
          <w:cantSplit w:val="true"/>
        </w:trPr>
        <w:tc>
          <w:tcPr>
            <w:tcW w:w="4818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18"/>
              </w:rPr>
              <w:t xml:space="preserve">Denominazione </w:t>
            </w:r>
          </w:p>
        </w:tc>
        <w:tc>
          <w:tcPr>
            <w:tcW w:w="4819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AMIR S.P.A.</w:t>
            </w:r>
          </w:p>
        </w:tc>
      </w:tr>
    </w:tbl>
    <w:p>
      <w:pPr>
        <w:pStyle w:val="Normal"/>
        <w:tabs>
          <w:tab w:val="clear" w:pos="708"/>
          <w:tab w:val="left" w:pos="357" w:leader="none"/>
        </w:tabs>
        <w:rPr>
          <w:sz w:val="10"/>
          <w:szCs w:val="10"/>
        </w:rPr>
      </w:pPr>
      <w:r>
        <w:rPr>
          <w:sz w:val="10"/>
          <w:szCs w:val="10"/>
        </w:rPr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24"/>
        <w:gridCol w:w="4813"/>
      </w:tblGrid>
      <w:tr>
        <w:trPr>
          <w:tblHeader w:val="true"/>
          <w:trHeight w:val="249" w:hRule="atLeast"/>
          <w:cantSplit w:val="true"/>
        </w:trPr>
        <w:tc>
          <w:tcPr>
            <w:tcW w:w="4824" w:type="dxa"/>
            <w:tcBorders>
              <w:top w:val="double" w:sz="6" w:space="0" w:color="0F253F"/>
              <w:left w:val="single" w:sz="4" w:space="0" w:color="FFFFFF"/>
              <w:bottom w:val="double" w:sz="4" w:space="0" w:color="000000"/>
            </w:tcBorders>
            <w:shd w:color="auto" w:fill="DEEAF6" w:val="clear"/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rFonts w:cs="Calibri" w:cstheme="minorHAnsi"/>
                <w:b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4813" w:type="dxa"/>
            <w:tcBorders>
              <w:top w:val="double" w:sz="6" w:space="0" w:color="0F253F"/>
              <w:left w:val="single" w:sz="4" w:space="0" w:color="FFFFFF"/>
              <w:bottom w:val="double" w:sz="4" w:space="0" w:color="000000"/>
            </w:tcBorders>
            <w:shd w:color="auto" w:fill="DEEAF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>
        <w:trPr>
          <w:trHeight w:val="249" w:hRule="atLeast"/>
          <w:cantSplit w:val="true"/>
        </w:trPr>
        <w:tc>
          <w:tcPr>
            <w:tcW w:w="4824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Stato di attuazione della procedura</w:t>
            </w:r>
          </w:p>
        </w:tc>
        <w:tc>
          <w:tcPr>
            <w:tcW w:w="4813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/>
            </w:r>
            <w:sdt>
              <w:sdtPr>
                <w:dropDownList>
                  <w:listItem w:displayText="Scegliere un elemento." w:value="Scegliere un elemento."/>
                  <w:listItem w:displayText="Procedura di liquidazione non avviata" w:value="Procedura di liquidazione non avviata"/>
                  <w:listItem w:displayText="Procedura di liquidazione in corso" w:value="Procedura di liquidazione in corso"/>
                  <w:listItem w:displayText="Revoca dello stato di liquidazione" w:value="Revoca dello stato di liquidazione"/>
                </w:dropDownList>
              </w:sdtPr>
              <w:sdtContent>
                <w:r>
                  <w:t>Procedura di liquidazione in corso</w:t>
                </w:r>
              </w:sdtContent>
            </w:sdt>
          </w:p>
        </w:tc>
      </w:tr>
      <w:tr>
        <w:trPr>
          <w:trHeight w:val="249" w:hRule="atLeast"/>
          <w:cantSplit w:val="true"/>
        </w:trPr>
        <w:tc>
          <w:tcPr>
            <w:tcW w:w="4824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Motivazioni del mancato avvio della procedura</w:t>
            </w:r>
          </w:p>
        </w:tc>
        <w:tc>
          <w:tcPr>
            <w:tcW w:w="4813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Il progetto risulta complesso e richiede la condivisione del medesimo da parte delle competenti autorità di regolazione del settore idrico.</w:t>
            </w:r>
          </w:p>
        </w:tc>
      </w:tr>
      <w:tr>
        <w:trPr>
          <w:trHeight w:val="249" w:hRule="atLeast"/>
          <w:cantSplit w:val="true"/>
        </w:trPr>
        <w:tc>
          <w:tcPr>
            <w:tcW w:w="4824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Data di deliberazione della liquidazione</w:t>
            </w:r>
          </w:p>
        </w:tc>
        <w:tc>
          <w:tcPr>
            <w:tcW w:w="4813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</w:r>
          </w:p>
        </w:tc>
      </w:tr>
      <w:tr>
        <w:trPr>
          <w:trHeight w:val="249" w:hRule="atLeast"/>
          <w:cantSplit w:val="true"/>
        </w:trPr>
        <w:tc>
          <w:tcPr>
            <w:tcW w:w="4824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Stato di avanzamento della procedura</w:t>
            </w:r>
          </w:p>
        </w:tc>
        <w:tc>
          <w:tcPr>
            <w:tcW w:w="4813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</w:r>
          </w:p>
        </w:tc>
      </w:tr>
      <w:tr>
        <w:trPr>
          <w:trHeight w:val="249" w:hRule="atLeast"/>
          <w:cantSplit w:val="true"/>
        </w:trPr>
        <w:tc>
          <w:tcPr>
            <w:tcW w:w="4824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Data di deliberazione della revoca</w:t>
            </w:r>
          </w:p>
        </w:tc>
        <w:tc>
          <w:tcPr>
            <w:tcW w:w="4813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</w:r>
          </w:p>
        </w:tc>
      </w:tr>
      <w:tr>
        <w:trPr>
          <w:trHeight w:val="249" w:hRule="atLeast"/>
          <w:cantSplit w:val="true"/>
        </w:trPr>
        <w:tc>
          <w:tcPr>
            <w:tcW w:w="4824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Motivazioni della conclusione della procedura con esito negativo</w:t>
            </w:r>
          </w:p>
        </w:tc>
        <w:tc>
          <w:tcPr>
            <w:tcW w:w="4813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</w:r>
          </w:p>
        </w:tc>
      </w:tr>
      <w:tr>
        <w:trPr>
          <w:trHeight w:val="249" w:hRule="atLeast"/>
          <w:cantSplit w:val="true"/>
        </w:trPr>
        <w:tc>
          <w:tcPr>
            <w:tcW w:w="4824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Ulteriori informazioni*</w:t>
            </w:r>
          </w:p>
        </w:tc>
        <w:tc>
          <w:tcPr>
            <w:tcW w:w="4813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 xml:space="preserve">Attualmente sembra ragionevole ipotizzare che le due fasi, inerenti la razionalizzazione della partecipazione in Amir, debbano essere posticipate nel tempo e possano verificarsi rispettivamente nel 2022 (fase scissione parziale) e nel 2023 (fase di liquidazione della società patrimoniale che residuerà dalla scissione).  </w:t>
            </w:r>
          </w:p>
        </w:tc>
      </w:tr>
    </w:tbl>
    <w:p>
      <w:pPr>
        <w:pStyle w:val="Normal"/>
        <w:rPr>
          <w:rFonts w:cs="Calibri" w:cstheme="minorHAnsi"/>
          <w:color w:val="244062"/>
          <w:sz w:val="18"/>
          <w:szCs w:val="20"/>
        </w:rPr>
      </w:pPr>
      <w:r>
        <w:rPr>
          <w:rFonts w:cs="Calibri" w:cstheme="minorHAnsi"/>
          <w:color w:val="244062"/>
          <w:sz w:val="18"/>
          <w:szCs w:val="20"/>
        </w:rPr>
        <w:t>*Campo testuale con compilazione facoltativa.</w:t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 w:themeFill="accent6" w:themeFillTint="66"/>
        <w:spacing w:before="120" w:after="160"/>
        <w:jc w:val="center"/>
        <w:rPr>
          <w:rFonts w:eastAsia="MS Mincho" w:cs="Calibri" w:cstheme="minorHAnsi"/>
          <w:b/>
          <w:b/>
          <w:bCs/>
          <w:color w:val="002060"/>
          <w:sz w:val="24"/>
          <w:szCs w:val="24"/>
          <w:lang w:eastAsia="ja-JP"/>
        </w:rPr>
      </w:pPr>
      <w:r>
        <w:rPr>
          <w:rFonts w:eastAsia="MS Mincho" w:cs="Calibri" w:cstheme="minorHAnsi"/>
          <w:b/>
          <w:bCs/>
          <w:color w:val="002060"/>
          <w:sz w:val="24"/>
          <w:szCs w:val="24"/>
          <w:lang w:eastAsia="ja-JP"/>
        </w:rPr>
        <w:t>SCHEDA STATO DI ATTUAZIONE</w:t>
      </w:r>
    </w:p>
    <w:p>
      <w:pPr>
        <w:pStyle w:val="Normal"/>
        <w:jc w:val="center"/>
        <w:rPr>
          <w:b/>
          <w:b/>
          <w:sz w:val="2"/>
          <w:szCs w:val="28"/>
        </w:rPr>
      </w:pPr>
      <w:r>
        <w:rPr>
          <w:b/>
          <w:sz w:val="2"/>
          <w:szCs w:val="28"/>
        </w:rPr>
      </w:r>
    </w:p>
    <w:p>
      <w:pPr>
        <w:pStyle w:val="Normal"/>
        <w:widowControl w:val="fals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 w:themeFill="accent6" w:themeFillTint="66"/>
        <w:spacing w:before="120" w:after="160"/>
        <w:jc w:val="center"/>
        <w:rPr>
          <w:rFonts w:eastAsia="MS Mincho" w:cs="Calibri" w:cstheme="minorHAnsi"/>
          <w:b/>
          <w:b/>
          <w:bCs/>
          <w:color w:val="002060"/>
          <w:sz w:val="24"/>
          <w:szCs w:val="24"/>
          <w:lang w:eastAsia="ja-JP"/>
        </w:rPr>
      </w:pPr>
      <w:r>
        <w:rPr>
          <w:rFonts w:eastAsia="MS Mincho" w:cs="Calibri" w:cstheme="minorHAnsi"/>
          <w:b/>
          <w:bCs/>
          <w:color w:val="002060"/>
          <w:sz w:val="24"/>
          <w:szCs w:val="24"/>
          <w:lang w:eastAsia="ja-JP"/>
        </w:rPr>
        <w:t>Fusione della società per incorporazione</w:t>
      </w:r>
    </w:p>
    <w:p>
      <w:pPr>
        <w:pStyle w:val="Normal"/>
        <w:rPr/>
      </w:pPr>
      <w:r>
        <w:rPr/>
      </w:r>
    </w:p>
    <w:p>
      <w:pPr>
        <w:pStyle w:val="Normal"/>
        <w:widowControl w:val="false"/>
        <w:shd w:val="clear" w:color="auto" w:fill="002060"/>
        <w:spacing w:before="120" w:after="160"/>
        <w:jc w:val="center"/>
        <w:rPr>
          <w:rFonts w:eastAsia="MS Mincho" w:cs="Calibri" w:cstheme="minorHAnsi"/>
          <w:b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="Calibri" w:cstheme="minorHAnsi"/>
          <w:b/>
          <w:bCs/>
          <w:color w:val="FFFFFF" w:themeColor="background1"/>
          <w:sz w:val="18"/>
          <w:szCs w:val="24"/>
          <w:lang w:eastAsia="ja-JP"/>
        </w:rPr>
        <w:t>DATI ANAGRAFICI DELLA PARTECIPATA</w:t>
      </w:r>
    </w:p>
    <w:tbl>
      <w:tblPr>
        <w:tblW w:w="500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8"/>
        <w:gridCol w:w="4819"/>
      </w:tblGrid>
      <w:tr>
        <w:trPr>
          <w:trHeight w:val="249" w:hRule="atLeast"/>
          <w:cantSplit w:val="true"/>
        </w:trPr>
        <w:tc>
          <w:tcPr>
            <w:tcW w:w="4818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18"/>
              </w:rPr>
              <w:t xml:space="preserve">Codice Fiscale </w:t>
            </w:r>
          </w:p>
        </w:tc>
        <w:tc>
          <w:tcPr>
            <w:tcW w:w="4819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82006370405</w:t>
            </w:r>
          </w:p>
        </w:tc>
      </w:tr>
      <w:tr>
        <w:trPr>
          <w:trHeight w:val="249" w:hRule="atLeast"/>
          <w:cantSplit w:val="true"/>
        </w:trPr>
        <w:tc>
          <w:tcPr>
            <w:tcW w:w="4818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18"/>
              </w:rPr>
              <w:t xml:space="preserve">Denominazione </w:t>
            </w:r>
          </w:p>
        </w:tc>
        <w:tc>
          <w:tcPr>
            <w:tcW w:w="4819" w:type="dxa"/>
            <w:tcBorders>
              <w:top w:val="single" w:sz="4" w:space="0" w:color="0F253F"/>
              <w:left w:val="single" w:sz="4" w:space="0" w:color="0F253F"/>
              <w:bottom w:val="single" w:sz="4" w:space="0" w:color="0F253F"/>
              <w:right w:val="single" w:sz="4" w:space="0" w:color="0F253F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SOCIETA’ ITALIANA SERVIZI S.P.A. *S.I.S. S.P.A.</w:t>
            </w:r>
          </w:p>
        </w:tc>
      </w:tr>
    </w:tbl>
    <w:p>
      <w:pPr>
        <w:pStyle w:val="Normal"/>
        <w:tabs>
          <w:tab w:val="clear" w:pos="708"/>
          <w:tab w:val="left" w:pos="357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4950" w:type="pct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70"/>
        <w:gridCol w:w="4770"/>
      </w:tblGrid>
      <w:tr>
        <w:trPr>
          <w:tblHeader w:val="true"/>
          <w:trHeight w:val="249" w:hRule="atLeast"/>
          <w:cantSplit w:val="true"/>
        </w:trPr>
        <w:tc>
          <w:tcPr>
            <w:tcW w:w="4770" w:type="dxa"/>
            <w:tcBorders>
              <w:top w:val="double" w:sz="6" w:space="0" w:color="0F253F"/>
              <w:left w:val="single" w:sz="4" w:space="0" w:color="FFFFFF"/>
              <w:bottom w:val="double" w:sz="4" w:space="0" w:color="000000"/>
            </w:tcBorders>
            <w:shd w:color="auto" w:fill="DEEAF6" w:val="clear"/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rFonts w:cs="Calibri" w:cstheme="minorHAnsi"/>
                <w:b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4770" w:type="dxa"/>
            <w:tcBorders>
              <w:top w:val="double" w:sz="6" w:space="0" w:color="0F253F"/>
              <w:left w:val="single" w:sz="4" w:space="0" w:color="FFFFFF"/>
              <w:bottom w:val="double" w:sz="4" w:space="0" w:color="000000"/>
            </w:tcBorders>
            <w:shd w:color="auto" w:fill="DEEAF6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cs="Calibri" w:cstheme="minorHAnsi"/>
                <w:b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="Calibri"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Stato di attuazione della procedura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/>
            </w:r>
            <w:sdt>
              <w:sdtPr>
                <w:dropDownList>
                  <w:listItem w:displayText="Scegliere un elemento." w:value="Scegliere un elemento."/>
                  <w:listItem w:displayText="Procedura di fusione non avviata" w:value="Procedura di fusione non avviata"/>
                  <w:listItem w:displayText="Procedura di fusione in corso" w:value="Procedura di fusione in corso"/>
                </w:dropDownList>
              </w:sdtPr>
              <w:sdtContent>
                <w:r>
                  <w:t>Procedura di fusione in corso</w:t>
                </w:r>
              </w:sdtContent>
            </w:sdt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Motivazioni del mancato avvio della procedura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Il progetto risulta complesso e richiede la condivisione del medesimo da parte delle competenti autorità di regolazione del settore idrico.</w:t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Stato di avanzamento della procedura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</w:r>
          </w:p>
        </w:tc>
      </w:tr>
      <w:tr>
        <w:trPr>
          <w:trHeight w:val="249" w:hRule="atLeast"/>
          <w:cantSplit w:val="true"/>
        </w:trPr>
        <w:tc>
          <w:tcPr>
            <w:tcW w:w="4770" w:type="dxa"/>
            <w:tcBorders>
              <w:top w:val="single" w:sz="4" w:space="0" w:color="000000"/>
              <w:left w:val="single" w:sz="4" w:space="0" w:color="254061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color w:val="244062"/>
                <w:sz w:val="18"/>
                <w:szCs w:val="20"/>
              </w:rPr>
            </w:pPr>
            <w:r>
              <w:rPr>
                <w:rFonts w:cs="Calibri" w:cstheme="minorHAnsi"/>
                <w:b/>
                <w:color w:val="244062"/>
                <w:sz w:val="18"/>
                <w:szCs w:val="20"/>
              </w:rPr>
              <w:t>Ulteriori informazioni*</w:t>
            </w:r>
          </w:p>
        </w:tc>
        <w:tc>
          <w:tcPr>
            <w:tcW w:w="4770" w:type="dxa"/>
            <w:tcBorders>
              <w:top w:val="single" w:sz="4" w:space="0" w:color="000000"/>
              <w:bottom w:val="single" w:sz="4" w:space="0" w:color="000000"/>
              <w:right w:val="single" w:sz="4" w:space="0" w:color="254061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Si richiama quanto sopra esposto in merito alle informazioni riportate sulla scheda della partecipata AMIR S.P.A.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 xml:space="preserve">Viene previsto uno slittamento di un anno rispetto a quanto previsto nel piano di razionalizzazione dell’esercizio precedente.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cs="Calibri" w:cstheme="minorHAnsi"/>
                <w:iCs/>
                <w:color w:val="244062"/>
                <w:sz w:val="18"/>
                <w:szCs w:val="18"/>
              </w:rPr>
            </w:pPr>
            <w:r>
              <w:rPr>
                <w:rFonts w:cs="Calibri" w:cstheme="minorHAnsi"/>
                <w:iCs/>
                <w:color w:val="244062"/>
                <w:sz w:val="18"/>
                <w:szCs w:val="18"/>
              </w:rPr>
              <w:t>Si ipotizza che l’operazione di fusione per incorporazione della Società Italiana Servizi S.p.a. (S.I.S. S.p.a.) nella società Romagna Acque - Società delle Fonti S.p.a. avvenga entro il 2021.</w:t>
            </w:r>
          </w:p>
        </w:tc>
      </w:tr>
    </w:tbl>
    <w:p>
      <w:pPr>
        <w:pStyle w:val="Normal"/>
        <w:spacing w:before="0" w:after="160"/>
        <w:rPr>
          <w:rFonts w:ascii="Calibri" w:hAnsi="Calibri" w:eastAsia="MS Mincho" w:cs="Calibri"/>
          <w:sz w:val="24"/>
          <w:szCs w:val="24"/>
          <w:lang w:eastAsia="ja-JP"/>
        </w:rPr>
      </w:pPr>
      <w:r>
        <w:rPr>
          <w:rFonts w:cs="Calibri" w:cstheme="minorHAnsi"/>
          <w:color w:val="244062"/>
          <w:sz w:val="18"/>
          <w:szCs w:val="20"/>
        </w:rPr>
        <w:t>*Campo testuale con compilazione facoltativa.</w:t>
      </w:r>
    </w:p>
    <w:sectPr>
      <w:footerReference w:type="default" r:id="rId2"/>
      <w:type w:val="nextPage"/>
      <w:pgSz w:w="11906" w:h="16838"/>
      <w:pgMar w:left="1134" w:right="1134" w:header="0" w:top="1417" w:footer="443" w:bottom="851" w:gutter="0"/>
      <w:pgNumType w:start="1"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roman"/>
    <w:pitch w:val="default"/>
  </w:font>
  <w:font w:name="Calibri Light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  <w:font w:name="Verdana">
    <w:charset w:val="01"/>
    <w:family w:val="roman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96386140"/>
    </w:sdtPr>
    <w:sdtContent>
      <w:p>
        <w:pPr>
          <w:pStyle w:val="Pidipagina"/>
          <w:tabs>
            <w:tab w:val="center" w:pos="4819" w:leader="none"/>
            <w:tab w:val="left" w:pos="9498" w:leader="none"/>
            <w:tab w:val="right" w:pos="9638" w:leader="none"/>
          </w:tabs>
          <w:ind w:left="8789" w:hanging="8789"/>
          <w:rPr>
            <w:rFonts w:ascii="Calibri" w:hAnsi="Calibri"/>
            <w:b/>
            <w:b/>
            <w:iCs/>
            <w:color w:val="1F497D"/>
            <w:sz w:val="20"/>
            <w:szCs w:val="20"/>
          </w:rPr>
        </w:pPr>
        <w:r>
          <w:rPr>
            <w:b/>
            <w:iCs/>
            <w:color w:val="1F497D"/>
            <w:sz w:val="20"/>
            <w:szCs w:val="20"/>
          </w:rPr>
          <w:t>SCHEDE RELAZIONE ATTUAZIONE PIANO RAZIONALIZZAZIONE - Comune di Misano Adriatico</w:t>
          <w:tab/>
          <w:t xml:space="preserve">- pag. </w:t>
        </w:r>
        <w:r>
          <w:rPr>
            <w:b/>
            <w:iCs/>
            <w:color w:val="1F497D"/>
            <w:sz w:val="20"/>
            <w:szCs w:val="20"/>
          </w:rPr>
          <w:fldChar w:fldCharType="begin"/>
        </w:r>
        <w:r>
          <w:rPr>
            <w:sz w:val="20"/>
            <w:b/>
            <w:szCs w:val="20"/>
            <w:iCs/>
            <w:color w:val="1F497D"/>
          </w:rPr>
          <w:instrText> PAGE </w:instrText>
        </w:r>
        <w:r>
          <w:rPr>
            <w:sz w:val="20"/>
            <w:b/>
            <w:szCs w:val="20"/>
            <w:iCs/>
            <w:color w:val="1F497D"/>
          </w:rPr>
          <w:fldChar w:fldCharType="separate"/>
        </w:r>
        <w:r>
          <w:rPr>
            <w:sz w:val="20"/>
            <w:b/>
            <w:szCs w:val="20"/>
            <w:iCs/>
            <w:color w:val="1F497D"/>
          </w:rPr>
          <w:t>4</w:t>
        </w:r>
        <w:r>
          <w:rPr>
            <w:sz w:val="20"/>
            <w:b/>
            <w:szCs w:val="20"/>
            <w:iCs/>
            <w:color w:val="1F497D"/>
          </w:rPr>
          <w:fldChar w:fldCharType="end"/>
        </w:r>
        <w:r>
          <w:rPr>
            <w:b/>
            <w:iCs/>
            <w:color w:val="1F497D"/>
            <w:sz w:val="20"/>
            <w:szCs w:val="20"/>
          </w:rPr>
          <w:t>-</w:t>
        </w:r>
      </w:p>
    </w:sdtContent>
  </w:sdt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37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44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52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59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66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73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80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88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9528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414b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"/>
    <w:qFormat/>
    <w:rsid w:val="00b66e4a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essunaspaziaturaCarattere" w:customStyle="1">
    <w:name w:val="Nessuna spaziatura Carattere"/>
    <w:link w:val="Nessunaspaziatura"/>
    <w:uiPriority w:val="1"/>
    <w:qFormat/>
    <w:rsid w:val="00722551"/>
    <w:rPr>
      <w:rFonts w:ascii="Calibri" w:hAnsi="Calibri" w:eastAsia="Times New Roman" w:cs="Times New Roman"/>
      <w:lang w:val="en-US"/>
    </w:rPr>
  </w:style>
  <w:style w:type="character" w:styleId="CorpotestoCarattere" w:customStyle="1">
    <w:name w:val="Corpo testo Carattere"/>
    <w:basedOn w:val="DefaultParagraphFont"/>
    <w:link w:val="Corpotesto"/>
    <w:semiHidden/>
    <w:qFormat/>
    <w:rsid w:val="001b7ac4"/>
    <w:rPr>
      <w:rFonts w:ascii="Arial" w:hAnsi="Arial" w:eastAsia="MS Mincho" w:cs="Times New Roman"/>
      <w:sz w:val="20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qFormat/>
    <w:rsid w:val="00402ac4"/>
    <w:rPr>
      <w:color w:val="808080"/>
    </w:rPr>
  </w:style>
  <w:style w:type="character" w:styleId="ParagrafoelencoCarattere" w:customStyle="1">
    <w:name w:val="Paragrafo elenco Carattere"/>
    <w:link w:val="Paragrafoelenco"/>
    <w:uiPriority w:val="34"/>
    <w:qFormat/>
    <w:rsid w:val="006f79b7"/>
    <w:rPr>
      <w:rFonts w:ascii="Arial" w:hAnsi="Arial" w:eastAsia="Calibri" w:cs="Times New Roman"/>
    </w:rPr>
  </w:style>
  <w:style w:type="character" w:styleId="CollegamentoInternet">
    <w:name w:val="Collegamento Internet"/>
    <w:basedOn w:val="DefaultParagraphFont"/>
    <w:uiPriority w:val="99"/>
    <w:rsid w:val="00933db7"/>
    <w:rPr>
      <w:color w:val="0000FF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b1111"/>
    <w:rPr>
      <w:rFonts w:ascii="Tahoma" w:hAnsi="Tahoma" w:cs="Tahoma"/>
      <w:sz w:val="16"/>
      <w:szCs w:val="1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b1111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uiPriority w:val="99"/>
    <w:semiHidden/>
    <w:qFormat/>
    <w:rsid w:val="00eb1111"/>
    <w:rPr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qFormat/>
    <w:rsid w:val="00eb1111"/>
    <w:rPr>
      <w:b/>
      <w:bCs/>
      <w:sz w:val="20"/>
      <w:szCs w:val="20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3d526f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3d526f"/>
    <w:rPr/>
  </w:style>
  <w:style w:type="character" w:styleId="Pagenumber">
    <w:name w:val="page number"/>
    <w:basedOn w:val="DefaultParagraphFont"/>
    <w:qFormat/>
    <w:rsid w:val="003d526f"/>
    <w:rPr/>
  </w:style>
  <w:style w:type="character" w:styleId="Titolo1Carattere" w:customStyle="1">
    <w:name w:val="Titolo 1 Carattere"/>
    <w:basedOn w:val="DefaultParagraphFont"/>
    <w:link w:val="Titolo1"/>
    <w:uiPriority w:val="9"/>
    <w:qFormat/>
    <w:rsid w:val="00b66e4a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semiHidden/>
    <w:qFormat/>
    <w:rsid w:val="00f564ce"/>
    <w:rPr>
      <w:sz w:val="20"/>
      <w:szCs w:val="20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f564ce"/>
    <w:rPr>
      <w:vertAlign w:val="superscrip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semiHidden/>
    <w:rsid w:val="001b7ac4"/>
    <w:pPr>
      <w:spacing w:lineRule="auto" w:line="240" w:before="130" w:after="130"/>
      <w:jc w:val="both"/>
    </w:pPr>
    <w:rPr>
      <w:rFonts w:ascii="Arial" w:hAnsi="Arial" w:eastAsia="MS Mincho" w:cs="Times New Roman"/>
      <w:sz w:val="20"/>
      <w:szCs w:val="20"/>
      <w:lang w:eastAsia="ja-JP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NoSpacing">
    <w:name w:val="No Spacing"/>
    <w:link w:val="NessunaspaziaturaCarattere"/>
    <w:uiPriority w:val="1"/>
    <w:qFormat/>
    <w:rsid w:val="00722551"/>
    <w:pPr>
      <w:widowControl/>
      <w:suppressAutoHyphens w:val="true"/>
      <w:bidi w:val="0"/>
      <w:spacing w:lineRule="auto" w:line="240" w:before="8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ListParagraph">
    <w:name w:val="List Paragraph"/>
    <w:basedOn w:val="Normal"/>
    <w:link w:val="ParagrafoelencoCarattere"/>
    <w:uiPriority w:val="34"/>
    <w:qFormat/>
    <w:rsid w:val="006f79b7"/>
    <w:pPr>
      <w:widowControl w:val="false"/>
      <w:spacing w:lineRule="auto" w:line="240" w:before="80" w:after="120"/>
      <w:ind w:left="720" w:hanging="0"/>
      <w:contextualSpacing/>
      <w:jc w:val="both"/>
    </w:pPr>
    <w:rPr>
      <w:rFonts w:ascii="Arial" w:hAnsi="Arial" w:eastAsia="Calibri" w:cs="Times New Roman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b11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TestocommentoCarattere"/>
    <w:uiPriority w:val="99"/>
    <w:semiHidden/>
    <w:unhideWhenUsed/>
    <w:qFormat/>
    <w:rsid w:val="00eb1111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eb1111"/>
    <w:pPr/>
    <w:rPr>
      <w:b/>
      <w:bCs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3d52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3d52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3d526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Notaapidipagina">
    <w:name w:val="Footnote Text"/>
    <w:basedOn w:val="Normal"/>
    <w:link w:val="TestonotaapidipaginaCarattere"/>
    <w:uiPriority w:val="99"/>
    <w:semiHidden/>
    <w:unhideWhenUsed/>
    <w:rsid w:val="00f564ce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3871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glossaryDocument" Target="glossary/document.xml"/><Relationship Id="rId8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CF615736A8A41768C28E3E52BBE2D0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81F23F-1807-4D0C-86E3-9E99E21702DD}"/>
      </w:docPartPr>
      <w:docPartBody>
        <w:p w:rsidR="006009B0" w:rsidRDefault="000D09BB" w:rsidP="000D09BB">
          <w:pPr>
            <w:pStyle w:val="ECF615736A8A41768C28E3E52BBE2D01"/>
          </w:pPr>
          <w:r w:rsidRPr="0089651E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9C3155FC8D574300A1E9AED4BD6FA8A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02A70EE-703E-48DD-9BBF-5103E1A5CF5B}"/>
      </w:docPartPr>
      <w:docPartBody>
        <w:p w:rsidR="00E73188" w:rsidRDefault="00931DA7" w:rsidP="00931DA7">
          <w:pPr>
            <w:pStyle w:val="9C3155FC8D574300A1E9AED4BD6FA8AE"/>
          </w:pPr>
          <w:r w:rsidRPr="0089651E">
            <w:rPr>
              <w:rFonts w:cstheme="minorHAnsi"/>
              <w:iCs/>
              <w:color w:val="244062"/>
              <w:sz w:val="16"/>
              <w:szCs w:val="16"/>
            </w:rPr>
            <w:t>Scegliere un elemento.</w:t>
          </w:r>
        </w:p>
      </w:docPartBody>
    </w:docPart>
    <w:docPart>
      <w:docPartPr>
        <w:name w:val="708E5BD821954430A53EBB5651E7A2A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2C3D604-590C-4F3A-81B9-8E0D84665734}"/>
      </w:docPartPr>
      <w:docPartBody>
        <w:p w:rsidR="00E73188" w:rsidRDefault="00931DA7" w:rsidP="00931DA7">
          <w:pPr>
            <w:pStyle w:val="708E5BD821954430A53EBB5651E7A2AC"/>
          </w:pPr>
          <w:r w:rsidRPr="0089651E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BCBD7B835E604ADE87E5AA95567864D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EC1FC0-BB0E-43F6-81CF-D5C66DA68629}"/>
      </w:docPartPr>
      <w:docPartBody>
        <w:p w:rsidR="00E73188" w:rsidRDefault="00931DA7" w:rsidP="00931DA7">
          <w:pPr>
            <w:pStyle w:val="BCBD7B835E604ADE87E5AA95567864D6"/>
          </w:pPr>
          <w:r w:rsidRPr="0089651E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4CBB"/>
    <w:rsid w:val="00006F7F"/>
    <w:rsid w:val="000605FF"/>
    <w:rsid w:val="00063006"/>
    <w:rsid w:val="0009576A"/>
    <w:rsid w:val="000D09BB"/>
    <w:rsid w:val="00111E00"/>
    <w:rsid w:val="00134D5A"/>
    <w:rsid w:val="00143915"/>
    <w:rsid w:val="001625E4"/>
    <w:rsid w:val="001B7A2E"/>
    <w:rsid w:val="001E15A0"/>
    <w:rsid w:val="001F5B55"/>
    <w:rsid w:val="00214DE7"/>
    <w:rsid w:val="002245BF"/>
    <w:rsid w:val="00224963"/>
    <w:rsid w:val="00285E94"/>
    <w:rsid w:val="002C4009"/>
    <w:rsid w:val="00300FBC"/>
    <w:rsid w:val="0033394F"/>
    <w:rsid w:val="003A36B8"/>
    <w:rsid w:val="003F47E1"/>
    <w:rsid w:val="004060E0"/>
    <w:rsid w:val="0041113A"/>
    <w:rsid w:val="0044255E"/>
    <w:rsid w:val="004E2D37"/>
    <w:rsid w:val="00505B86"/>
    <w:rsid w:val="00527E35"/>
    <w:rsid w:val="005328D3"/>
    <w:rsid w:val="00532E54"/>
    <w:rsid w:val="00562DA6"/>
    <w:rsid w:val="005735DE"/>
    <w:rsid w:val="00584A44"/>
    <w:rsid w:val="00584A50"/>
    <w:rsid w:val="005F5DC1"/>
    <w:rsid w:val="006009B0"/>
    <w:rsid w:val="00613DF8"/>
    <w:rsid w:val="00625758"/>
    <w:rsid w:val="00626527"/>
    <w:rsid w:val="00631449"/>
    <w:rsid w:val="0063466D"/>
    <w:rsid w:val="0065426B"/>
    <w:rsid w:val="00676602"/>
    <w:rsid w:val="00717042"/>
    <w:rsid w:val="0072104A"/>
    <w:rsid w:val="00777F58"/>
    <w:rsid w:val="00824CBB"/>
    <w:rsid w:val="00846CE9"/>
    <w:rsid w:val="008A1C3B"/>
    <w:rsid w:val="008B09BA"/>
    <w:rsid w:val="008F153E"/>
    <w:rsid w:val="00931DA7"/>
    <w:rsid w:val="009A1014"/>
    <w:rsid w:val="009C4C73"/>
    <w:rsid w:val="00A2019A"/>
    <w:rsid w:val="00A34BE2"/>
    <w:rsid w:val="00A37AC2"/>
    <w:rsid w:val="00B45D15"/>
    <w:rsid w:val="00B46A7E"/>
    <w:rsid w:val="00BB0E39"/>
    <w:rsid w:val="00BE5B9F"/>
    <w:rsid w:val="00C81C33"/>
    <w:rsid w:val="00CD28E3"/>
    <w:rsid w:val="00D37F6F"/>
    <w:rsid w:val="00D50530"/>
    <w:rsid w:val="00D62890"/>
    <w:rsid w:val="00E278DC"/>
    <w:rsid w:val="00E43238"/>
    <w:rsid w:val="00E6109C"/>
    <w:rsid w:val="00E73188"/>
    <w:rsid w:val="00E91DFD"/>
    <w:rsid w:val="00EF012E"/>
    <w:rsid w:val="00F51486"/>
    <w:rsid w:val="00FA0B1E"/>
    <w:rsid w:val="00FC63D0"/>
    <w:rsid w:val="00FE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31DA7"/>
    <w:rPr>
      <w:color w:val="808080"/>
    </w:rPr>
  </w:style>
  <w:style w:type="paragraph" w:customStyle="1" w:styleId="ECF615736A8A41768C28E3E52BBE2D01">
    <w:name w:val="ECF615736A8A41768C28E3E52BBE2D01"/>
    <w:rsid w:val="000D09BB"/>
  </w:style>
  <w:style w:type="paragraph" w:customStyle="1" w:styleId="9C3155FC8D574300A1E9AED4BD6FA8AE">
    <w:name w:val="9C3155FC8D574300A1E9AED4BD6FA8AE"/>
    <w:rsid w:val="00931DA7"/>
  </w:style>
  <w:style w:type="paragraph" w:customStyle="1" w:styleId="708E5BD821954430A53EBB5651E7A2AC">
    <w:name w:val="708E5BD821954430A53EBB5651E7A2AC"/>
    <w:rsid w:val="00931DA7"/>
  </w:style>
  <w:style w:type="paragraph" w:customStyle="1" w:styleId="BCBD7B835E604ADE87E5AA95567864D6">
    <w:name w:val="BCBD7B835E604ADE87E5AA95567864D6"/>
    <w:rsid w:val="00931D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FE144-A57B-42E9-8B01-F7F1776D2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Application>LibreOffice/6.4.7.2$Windows_X86_64 LibreOffice_project/639b8ac485750d5696d7590a72ef1b496725cfb5</Application>
  <Pages>4</Pages>
  <Words>673</Words>
  <Characters>4226</Characters>
  <CharactersWithSpaces>4821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2019-11-27T12:11:00Z</dcterms:created>
  <dc:creator>Fabbri Paola</dc:creator>
  <dc:description/>
  <dc:language>it-IT</dc:language>
  <cp:lastModifiedBy/>
  <cp:lastPrinted>2021-12-15T14:39:29Z</cp:lastPrinted>
  <dcterms:modified xsi:type="dcterms:W3CDTF">2022-12-14T15:56:37Z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